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D7" w:rsidRDefault="00D465D7" w:rsidP="00983371">
      <w:pPr>
        <w:pStyle w:val="Heading2"/>
      </w:pPr>
      <w:bookmarkStart w:id="0" w:name="OLE_LINK5"/>
      <w:bookmarkStart w:id="1" w:name="OLE_LINK6"/>
      <w:r>
        <w:drawing>
          <wp:anchor distT="0" distB="0" distL="114300" distR="114300" simplePos="0" relativeHeight="251662336" behindDoc="0" locked="0" layoutInCell="1" allowOverlap="1">
            <wp:simplePos x="0" y="0"/>
            <wp:positionH relativeFrom="column">
              <wp:posOffset>4185285</wp:posOffset>
            </wp:positionH>
            <wp:positionV relativeFrom="paragraph">
              <wp:posOffset>-491490</wp:posOffset>
            </wp:positionV>
            <wp:extent cx="2085975" cy="695325"/>
            <wp:effectExtent l="19050" t="0" r="9525" b="0"/>
            <wp:wrapNone/>
            <wp:docPr id="1" name="Picture 0" descr="FI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S.png"/>
                    <pic:cNvPicPr/>
                  </pic:nvPicPr>
                  <pic:blipFill>
                    <a:blip r:embed="rId8" cstate="print"/>
                    <a:stretch>
                      <a:fillRect/>
                    </a:stretch>
                  </pic:blipFill>
                  <pic:spPr>
                    <a:xfrm>
                      <a:off x="0" y="0"/>
                      <a:ext cx="2085975" cy="695325"/>
                    </a:xfrm>
                    <a:prstGeom prst="rect">
                      <a:avLst/>
                    </a:prstGeom>
                  </pic:spPr>
                </pic:pic>
              </a:graphicData>
            </a:graphic>
          </wp:anchor>
        </w:drawing>
      </w:r>
    </w:p>
    <w:p w:rsidR="001579C8" w:rsidRPr="00983371" w:rsidRDefault="00D465D7" w:rsidP="00983371">
      <w:pPr>
        <w:pStyle w:val="Heading2"/>
      </w:pPr>
      <w:r>
        <w:t>STAGE 2 - TOOL</w:t>
      </w:r>
      <w:r w:rsidR="00983371">
        <w:t xml:space="preserve"> </w:t>
      </w:r>
      <w:r w:rsidR="00983371" w:rsidRPr="00983371">
        <w:t xml:space="preserve">8: Building </w:t>
      </w:r>
      <w:r w:rsidR="0059545C">
        <w:t>a</w:t>
      </w:r>
      <w:r w:rsidR="00983371" w:rsidRPr="00983371">
        <w:t xml:space="preserve"> competenc</w:t>
      </w:r>
      <w:r w:rsidR="00EF3C89">
        <w:t>y</w:t>
      </w:r>
      <w:r w:rsidR="00983371" w:rsidRPr="00983371">
        <w:t xml:space="preserve"> </w:t>
      </w:r>
      <w:r w:rsidR="00C66A3F">
        <w:t>scaffold</w:t>
      </w:r>
      <w:r w:rsidR="00983371">
        <w:t xml:space="preserve"> </w:t>
      </w:r>
      <w:bookmarkEnd w:id="0"/>
      <w:bookmarkEnd w:id="1"/>
    </w:p>
    <w:p w:rsidR="001579C8" w:rsidRDefault="00983371" w:rsidP="00D465D7">
      <w:pPr>
        <w:ind w:right="-143"/>
      </w:pPr>
      <w:r>
        <w:t xml:space="preserve">Before the detail of the assessment approach can be undertaken, each element of the standard will need to be broken down into </w:t>
      </w:r>
      <w:r w:rsidR="00EF3C89">
        <w:t xml:space="preserve">a competency </w:t>
      </w:r>
      <w:r w:rsidR="00C66A3F">
        <w:t>scaffold</w:t>
      </w:r>
      <w:r w:rsidR="00EF3C89">
        <w:t xml:space="preserve"> that reflects what an individual needs to</w:t>
      </w:r>
      <w:r w:rsidR="00EF3C89">
        <w:rPr>
          <w:i/>
        </w:rPr>
        <w:t xml:space="preserve"> know</w:t>
      </w:r>
      <w:r w:rsidR="00EF3C89">
        <w:t xml:space="preserve"> and what they need to </w:t>
      </w:r>
      <w:r w:rsidR="00EF3C89">
        <w:rPr>
          <w:i/>
        </w:rPr>
        <w:t xml:space="preserve">do </w:t>
      </w:r>
      <w:r w:rsidR="00EF3C89">
        <w:t xml:space="preserve">in order to be successful in their given role. The </w:t>
      </w:r>
      <w:r w:rsidR="00C66A3F">
        <w:t>scaffold</w:t>
      </w:r>
      <w:r w:rsidR="00EF3C89">
        <w:t xml:space="preserve"> </w:t>
      </w:r>
      <w:r>
        <w:t xml:space="preserve">can then </w:t>
      </w:r>
      <w:r w:rsidR="00EF3C89">
        <w:t xml:space="preserve">be used to </w:t>
      </w:r>
      <w:r>
        <w:t>generate the questions that must be asked so that measurable judgments of competence can be made to judge and record progress.</w:t>
      </w:r>
    </w:p>
    <w:p w:rsidR="001579C8" w:rsidRDefault="00983371">
      <w:pPr>
        <w:rPr>
          <w:b/>
        </w:rPr>
      </w:pPr>
      <w:r>
        <w:rPr>
          <w:b/>
        </w:rPr>
        <w:t>How to use this tool</w:t>
      </w:r>
    </w:p>
    <w:p w:rsidR="00C66A3F" w:rsidRDefault="00DD5581" w:rsidP="00D465D7">
      <w:pPr>
        <w:pStyle w:val="ListParagraph"/>
        <w:numPr>
          <w:ilvl w:val="0"/>
          <w:numId w:val="2"/>
        </w:numPr>
        <w:spacing w:before="100"/>
        <w:ind w:left="357" w:hanging="357"/>
        <w:contextualSpacing w:val="0"/>
      </w:pPr>
      <w:r>
        <w:rPr>
          <w:noProof/>
        </w:rPr>
        <w:pict>
          <v:shapetype id="_x0000_t202" coordsize="21600,21600" o:spt="202" path="m,l,21600r21600,l21600,xe">
            <v:stroke joinstyle="miter"/>
            <v:path gradientshapeok="t" o:connecttype="rect"/>
          </v:shapetype>
          <v:shape id="_x0000_s1026" type="#_x0000_t202" style="position:absolute;left:0;text-align:left;margin-left:274.55pt;margin-top:6.95pt;width:208.75pt;height:297.95pt;z-index:251660288" fillcolor="#fdf4e7" strokecolor="#f93">
            <v:textbox style="mso-fit-shape-to-text:t">
              <w:txbxContent>
                <w:p w:rsidR="00C66A3F" w:rsidRPr="008E463E" w:rsidRDefault="00C66A3F" w:rsidP="00983371">
                  <w:pPr>
                    <w:rPr>
                      <w:rFonts w:ascii="Arial" w:hAnsi="Arial" w:cs="Arial"/>
                      <w:b/>
                      <w:sz w:val="20"/>
                      <w:szCs w:val="20"/>
                    </w:rPr>
                  </w:pPr>
                  <w:r w:rsidRPr="008E463E">
                    <w:rPr>
                      <w:rFonts w:ascii="Arial" w:hAnsi="Arial" w:cs="Arial"/>
                      <w:b/>
                      <w:sz w:val="20"/>
                      <w:szCs w:val="20"/>
                    </w:rPr>
                    <w:t>Competence, competencies and dimensions</w:t>
                  </w:r>
                </w:p>
                <w:p w:rsidR="00C66A3F" w:rsidRPr="008E463E" w:rsidRDefault="00C66A3F" w:rsidP="00983371">
                  <w:pPr>
                    <w:rPr>
                      <w:rFonts w:ascii="Arial" w:hAnsi="Arial" w:cs="Arial"/>
                      <w:i/>
                      <w:sz w:val="20"/>
                      <w:szCs w:val="20"/>
                    </w:rPr>
                  </w:pPr>
                  <w:r w:rsidRPr="008E463E">
                    <w:rPr>
                      <w:rFonts w:ascii="Arial" w:hAnsi="Arial" w:cs="Arial"/>
                      <w:i/>
                      <w:sz w:val="20"/>
                      <w:szCs w:val="20"/>
                    </w:rPr>
                    <w:t>Competence</w:t>
                  </w:r>
                </w:p>
                <w:p w:rsidR="00C66A3F" w:rsidRPr="008E463E" w:rsidRDefault="00C66A3F" w:rsidP="008E463E">
                  <w:pPr>
                    <w:pStyle w:val="ListParagraph"/>
                    <w:numPr>
                      <w:ilvl w:val="0"/>
                      <w:numId w:val="14"/>
                    </w:numPr>
                    <w:spacing w:before="60"/>
                    <w:rPr>
                      <w:rFonts w:ascii="Arial" w:hAnsi="Arial" w:cs="Arial"/>
                      <w:sz w:val="20"/>
                      <w:szCs w:val="20"/>
                    </w:rPr>
                  </w:pPr>
                  <w:r w:rsidRPr="008E463E">
                    <w:rPr>
                      <w:rFonts w:ascii="Arial" w:hAnsi="Arial" w:cs="Arial"/>
                      <w:sz w:val="20"/>
                      <w:szCs w:val="20"/>
                    </w:rPr>
                    <w:t>The things people need to do in order to perform a job.</w:t>
                  </w:r>
                </w:p>
                <w:p w:rsidR="00C66A3F" w:rsidRPr="008E463E" w:rsidRDefault="00C66A3F" w:rsidP="00983371">
                  <w:pPr>
                    <w:rPr>
                      <w:rFonts w:ascii="Arial" w:hAnsi="Arial" w:cs="Arial"/>
                      <w:i/>
                      <w:sz w:val="20"/>
                      <w:szCs w:val="20"/>
                    </w:rPr>
                  </w:pPr>
                  <w:r w:rsidRPr="008E463E">
                    <w:rPr>
                      <w:rFonts w:ascii="Arial" w:hAnsi="Arial" w:cs="Arial"/>
                      <w:i/>
                      <w:sz w:val="20"/>
                      <w:szCs w:val="20"/>
                    </w:rPr>
                    <w:t>Competencies</w:t>
                  </w:r>
                </w:p>
                <w:p w:rsidR="00C66A3F" w:rsidRPr="008E463E" w:rsidRDefault="00C66A3F" w:rsidP="008E463E">
                  <w:pPr>
                    <w:pStyle w:val="ListParagraph"/>
                    <w:numPr>
                      <w:ilvl w:val="0"/>
                      <w:numId w:val="13"/>
                    </w:numPr>
                    <w:spacing w:before="60"/>
                    <w:rPr>
                      <w:rFonts w:ascii="Arial" w:hAnsi="Arial" w:cs="Arial"/>
                      <w:sz w:val="20"/>
                      <w:szCs w:val="20"/>
                    </w:rPr>
                  </w:pPr>
                  <w:r w:rsidRPr="008E463E">
                    <w:rPr>
                      <w:rFonts w:ascii="Arial" w:hAnsi="Arial" w:cs="Arial"/>
                      <w:sz w:val="20"/>
                      <w:szCs w:val="20"/>
                    </w:rPr>
                    <w:t>The behaviours that lie behind competent performance.</w:t>
                  </w:r>
                </w:p>
                <w:p w:rsidR="00C66A3F" w:rsidRPr="008E463E" w:rsidRDefault="00C66A3F" w:rsidP="008E463E">
                  <w:pPr>
                    <w:pStyle w:val="ListParagraph"/>
                    <w:numPr>
                      <w:ilvl w:val="0"/>
                      <w:numId w:val="13"/>
                    </w:numPr>
                    <w:spacing w:before="60"/>
                    <w:rPr>
                      <w:rFonts w:ascii="Arial" w:hAnsi="Arial" w:cs="Arial"/>
                      <w:sz w:val="20"/>
                      <w:szCs w:val="20"/>
                    </w:rPr>
                  </w:pPr>
                  <w:r w:rsidRPr="008E463E">
                    <w:rPr>
                      <w:rFonts w:ascii="Arial" w:hAnsi="Arial" w:cs="Arial"/>
                      <w:sz w:val="20"/>
                      <w:szCs w:val="20"/>
                    </w:rPr>
                    <w:t>How knowledge and skills are used and applied in the workplace.</w:t>
                  </w:r>
                </w:p>
                <w:p w:rsidR="00C66A3F" w:rsidRPr="008E463E" w:rsidRDefault="00C66A3F" w:rsidP="008E463E">
                  <w:pPr>
                    <w:pStyle w:val="ListParagraph"/>
                    <w:numPr>
                      <w:ilvl w:val="0"/>
                      <w:numId w:val="13"/>
                    </w:numPr>
                    <w:spacing w:before="60"/>
                    <w:rPr>
                      <w:rFonts w:ascii="Arial" w:hAnsi="Arial" w:cs="Arial"/>
                      <w:sz w:val="20"/>
                      <w:szCs w:val="20"/>
                    </w:rPr>
                  </w:pPr>
                  <w:r w:rsidRPr="008E463E">
                    <w:rPr>
                      <w:rFonts w:ascii="Arial" w:hAnsi="Arial" w:cs="Arial"/>
                      <w:sz w:val="20"/>
                      <w:szCs w:val="20"/>
                    </w:rPr>
                    <w:t>A way to integrate knowledge, skills, judgement and attributes that people need to perform a job effectively.</w:t>
                  </w:r>
                </w:p>
                <w:p w:rsidR="00C66A3F" w:rsidRPr="008E463E" w:rsidRDefault="00C66A3F" w:rsidP="00983371">
                  <w:pPr>
                    <w:rPr>
                      <w:rFonts w:ascii="Arial" w:hAnsi="Arial" w:cs="Arial"/>
                      <w:i/>
                      <w:sz w:val="20"/>
                      <w:szCs w:val="20"/>
                    </w:rPr>
                  </w:pPr>
                  <w:r w:rsidRPr="008E463E">
                    <w:rPr>
                      <w:rFonts w:ascii="Arial" w:hAnsi="Arial" w:cs="Arial"/>
                      <w:i/>
                      <w:sz w:val="20"/>
                      <w:szCs w:val="20"/>
                    </w:rPr>
                    <w:t>Dimensions</w:t>
                  </w:r>
                </w:p>
                <w:p w:rsidR="00C66A3F" w:rsidRPr="008E463E" w:rsidRDefault="00C66A3F" w:rsidP="008E463E">
                  <w:pPr>
                    <w:pStyle w:val="ListParagraph"/>
                    <w:numPr>
                      <w:ilvl w:val="0"/>
                      <w:numId w:val="12"/>
                    </w:numPr>
                    <w:spacing w:before="60"/>
                    <w:rPr>
                      <w:rFonts w:ascii="Arial" w:hAnsi="Arial" w:cs="Arial"/>
                      <w:sz w:val="20"/>
                      <w:szCs w:val="20"/>
                    </w:rPr>
                  </w:pPr>
                  <w:r w:rsidRPr="008E463E">
                    <w:rPr>
                      <w:rFonts w:ascii="Arial" w:hAnsi="Arial" w:cs="Arial"/>
                      <w:sz w:val="20"/>
                      <w:szCs w:val="20"/>
                    </w:rPr>
                    <w:t>The component parts for building the competency.</w:t>
                  </w:r>
                </w:p>
                <w:p w:rsidR="00C66A3F" w:rsidRPr="008E463E" w:rsidRDefault="00C66A3F" w:rsidP="008E463E">
                  <w:pPr>
                    <w:pStyle w:val="ListParagraph"/>
                    <w:numPr>
                      <w:ilvl w:val="0"/>
                      <w:numId w:val="12"/>
                    </w:numPr>
                    <w:spacing w:before="60"/>
                    <w:rPr>
                      <w:rFonts w:ascii="Arial" w:hAnsi="Arial" w:cs="Arial"/>
                      <w:sz w:val="20"/>
                      <w:szCs w:val="20"/>
                    </w:rPr>
                  </w:pPr>
                  <w:r w:rsidRPr="008E463E">
                    <w:rPr>
                      <w:rFonts w:ascii="Arial" w:hAnsi="Arial" w:cs="Arial"/>
                      <w:sz w:val="20"/>
                      <w:szCs w:val="20"/>
                    </w:rPr>
                    <w:t>How the competency framework will be demonstrated through actions and behaviours.</w:t>
                  </w:r>
                </w:p>
              </w:txbxContent>
            </v:textbox>
            <w10:wrap type="square"/>
          </v:shape>
        </w:pict>
      </w:r>
      <w:r w:rsidR="00983371">
        <w:t xml:space="preserve">If not already written in this format, take each element of your standard and </w:t>
      </w:r>
      <w:r w:rsidR="00EF3C89">
        <w:t>break it down</w:t>
      </w:r>
      <w:r w:rsidR="00983371">
        <w:t xml:space="preserve"> in</w:t>
      </w:r>
      <w:r w:rsidR="00EF3C89">
        <w:t>to</w:t>
      </w:r>
      <w:r w:rsidR="00983371">
        <w:t xml:space="preserve"> </w:t>
      </w:r>
      <w:r w:rsidR="00983371">
        <w:rPr>
          <w:b/>
        </w:rPr>
        <w:t>competence</w:t>
      </w:r>
      <w:r w:rsidR="00983371">
        <w:t xml:space="preserve"> statement. </w:t>
      </w:r>
      <w:r w:rsidR="008E463E">
        <w:t xml:space="preserve">An effective competency statement defines </w:t>
      </w:r>
      <w:r w:rsidR="00EF3C89">
        <w:t xml:space="preserve">an aspect that could be </w:t>
      </w:r>
      <w:r w:rsidR="00EF3C89">
        <w:rPr>
          <w:i/>
        </w:rPr>
        <w:t>assessed</w:t>
      </w:r>
      <w:r w:rsidR="00EF3C89">
        <w:t xml:space="preserve"> using an interview-type interaction (for knowledge) or through observation (for skills and behaviours).</w:t>
      </w:r>
    </w:p>
    <w:p w:rsidR="001579C8" w:rsidRDefault="00983371" w:rsidP="00D465D7">
      <w:pPr>
        <w:spacing w:before="100"/>
        <w:ind w:left="357"/>
      </w:pPr>
      <w:r>
        <w:t xml:space="preserve">Some competence statements </w:t>
      </w:r>
      <w:r w:rsidR="008E463E">
        <w:t>will</w:t>
      </w:r>
      <w:r>
        <w:t xml:space="preserve"> be assessed more than once </w:t>
      </w:r>
      <w:r w:rsidR="008E463E">
        <w:t>and</w:t>
      </w:r>
      <w:r>
        <w:t xml:space="preserve"> many can be assessed in the same </w:t>
      </w:r>
      <w:r w:rsidR="008E463E">
        <w:t xml:space="preserve">assessment </w:t>
      </w:r>
      <w:r>
        <w:t xml:space="preserve">activity. The important action here is to make the element assessable. </w:t>
      </w:r>
    </w:p>
    <w:p w:rsidR="008E463E" w:rsidRDefault="008E463E" w:rsidP="00D465D7">
      <w:pPr>
        <w:pStyle w:val="ListParagraph"/>
        <w:numPr>
          <w:ilvl w:val="0"/>
          <w:numId w:val="2"/>
        </w:numPr>
        <w:spacing w:before="100"/>
        <w:ind w:left="357" w:hanging="357"/>
        <w:contextualSpacing w:val="0"/>
      </w:pPr>
      <w:r>
        <w:t>M</w:t>
      </w:r>
      <w:r w:rsidR="00983371">
        <w:t xml:space="preserve">ap the </w:t>
      </w:r>
      <w:r w:rsidR="00983371">
        <w:rPr>
          <w:b/>
        </w:rPr>
        <w:t>dimensions</w:t>
      </w:r>
      <w:r w:rsidR="00983371">
        <w:t xml:space="preserve"> of </w:t>
      </w:r>
      <w:r>
        <w:t>each</w:t>
      </w:r>
      <w:r w:rsidR="00983371">
        <w:t xml:space="preserve"> competence</w:t>
      </w:r>
      <w:r>
        <w:t xml:space="preserve"> statement</w:t>
      </w:r>
      <w:r w:rsidR="00983371">
        <w:t>. This may also be referred to as the range and scope</w:t>
      </w:r>
      <w:r>
        <w:t xml:space="preserve"> of the statement</w:t>
      </w:r>
      <w:r w:rsidR="00983371">
        <w:t xml:space="preserve">. </w:t>
      </w:r>
    </w:p>
    <w:p w:rsidR="001579C8" w:rsidRDefault="00983371" w:rsidP="00D465D7">
      <w:pPr>
        <w:spacing w:before="100"/>
        <w:ind w:left="357"/>
      </w:pPr>
      <w:r>
        <w:t>Some competencies can mean quite differen</w:t>
      </w:r>
      <w:r w:rsidR="008E463E">
        <w:t xml:space="preserve">t things in different settings </w:t>
      </w:r>
      <w:r>
        <w:t>so</w:t>
      </w:r>
      <w:r w:rsidR="008E463E">
        <w:t>,</w:t>
      </w:r>
      <w:r>
        <w:t xml:space="preserve"> to make the competence measurable, the limits need to be clear. </w:t>
      </w:r>
    </w:p>
    <w:p w:rsidR="00EF3C89" w:rsidRDefault="008E463E" w:rsidP="00D465D7">
      <w:pPr>
        <w:pStyle w:val="ListParagraph"/>
        <w:numPr>
          <w:ilvl w:val="0"/>
          <w:numId w:val="2"/>
        </w:numPr>
        <w:spacing w:before="100"/>
        <w:ind w:left="357" w:hanging="357"/>
        <w:contextualSpacing w:val="0"/>
      </w:pPr>
      <w:r>
        <w:t xml:space="preserve">Break each dimension </w:t>
      </w:r>
      <w:r w:rsidR="00983371">
        <w:t>down into specific and measurable questions</w:t>
      </w:r>
      <w:r w:rsidR="00C66A3F" w:rsidRPr="00C66A3F">
        <w:t xml:space="preserve"> </w:t>
      </w:r>
      <w:r w:rsidR="00C66A3F">
        <w:t>should be asked that will assess the knowledge required</w:t>
      </w:r>
      <w:r w:rsidR="00983371">
        <w:t xml:space="preserve"> </w:t>
      </w:r>
      <w:r w:rsidR="00C66A3F">
        <w:t>or the skills/behaviours that must be demonstrated. Each question should</w:t>
      </w:r>
      <w:r w:rsidR="00983371">
        <w:t xml:space="preserve"> have a limited range of </w:t>
      </w:r>
      <w:r w:rsidR="00C66A3F">
        <w:t>best practice answers/responses (for knowledge) or things that an assessor should witness (for skills/behaviours)</w:t>
      </w:r>
      <w:r w:rsidR="00983371">
        <w:t>. The</w:t>
      </w:r>
      <w:r w:rsidR="00C66A3F">
        <w:t xml:space="preserve">se </w:t>
      </w:r>
      <w:r w:rsidR="00983371">
        <w:t xml:space="preserve">answers </w:t>
      </w:r>
      <w:r>
        <w:t>will be</w:t>
      </w:r>
      <w:r w:rsidR="00983371">
        <w:t xml:space="preserve"> used </w:t>
      </w:r>
      <w:r>
        <w:t xml:space="preserve">in the assessment system </w:t>
      </w:r>
      <w:r w:rsidR="00983371">
        <w:t xml:space="preserve">to </w:t>
      </w:r>
      <w:r w:rsidR="00C66A3F">
        <w:t>judge</w:t>
      </w:r>
      <w:r w:rsidR="00983371">
        <w:t xml:space="preserve"> competence via a binary (yes/no, competent/not competent) system or via a </w:t>
      </w:r>
      <w:r>
        <w:t>range competence (a scale or a form of outstanding – p</w:t>
      </w:r>
      <w:r w:rsidR="00983371">
        <w:t>oor range).</w:t>
      </w:r>
      <w:r w:rsidR="00C66A3F">
        <w:t xml:space="preserve"> and what are the </w:t>
      </w:r>
    </w:p>
    <w:p w:rsidR="00EF3C89" w:rsidRDefault="00EF3C89" w:rsidP="00D465D7">
      <w:pPr>
        <w:spacing w:before="100"/>
        <w:ind w:left="357"/>
      </w:pPr>
      <w:r>
        <w:t>It is important to minimise subjectivity and personal opinion in assessment. Questions should focus on the outcome and facilitate an evidence-based judgment of performance.</w:t>
      </w:r>
    </w:p>
    <w:p w:rsidR="001579C8" w:rsidRDefault="00983371" w:rsidP="00D465D7">
      <w:pPr>
        <w:spacing w:before="100"/>
        <w:rPr>
          <w:b/>
        </w:rPr>
      </w:pPr>
      <w:r>
        <w:rPr>
          <w:b/>
        </w:rPr>
        <w:t>After using the tool</w:t>
      </w:r>
    </w:p>
    <w:p w:rsidR="001579C8" w:rsidRDefault="008E463E" w:rsidP="00D465D7">
      <w:pPr>
        <w:spacing w:before="100"/>
      </w:pPr>
      <w:r>
        <w:t>Once the questions are identified, you will be ready to start work the detailed assessment approach that will satisfy the dimensions of the standard. It will also be possible to develop a recording and monitoring tool (which may be through an online software package or assessor’s portfolio) to track achievement and quantify progress for certification purposes.</w:t>
      </w:r>
      <w:r w:rsidR="00983371">
        <w:br w:type="page"/>
      </w:r>
    </w:p>
    <w:p w:rsidR="001579C8" w:rsidRDefault="0059545C" w:rsidP="00C66A3F">
      <w:pPr>
        <w:spacing w:after="120"/>
        <w:rPr>
          <w:b/>
        </w:rPr>
      </w:pPr>
      <w:r>
        <w:rPr>
          <w:b/>
        </w:rPr>
        <w:lastRenderedPageBreak/>
        <w:t xml:space="preserve">An example of a skills-based </w:t>
      </w:r>
      <w:r w:rsidR="00983371">
        <w:rPr>
          <w:b/>
        </w:rPr>
        <w:t>competence scaffold</w:t>
      </w:r>
    </w:p>
    <w:tbl>
      <w:tblPr>
        <w:tblW w:w="9747" w:type="dxa"/>
        <w:tblBorders>
          <w:top w:val="single" w:sz="4" w:space="0" w:color="FF9933"/>
          <w:left w:val="single" w:sz="4" w:space="0" w:color="FF9933"/>
          <w:bottom w:val="single" w:sz="4" w:space="0" w:color="FF9933"/>
          <w:right w:val="single" w:sz="4" w:space="0" w:color="FF9933"/>
          <w:insideH w:val="single" w:sz="4" w:space="0" w:color="A6A6A6" w:themeColor="background1" w:themeShade="A6"/>
          <w:insideV w:val="single" w:sz="4" w:space="0" w:color="A6A6A6" w:themeColor="background1" w:themeShade="A6"/>
        </w:tblBorders>
        <w:tblLook w:val="04A0"/>
      </w:tblPr>
      <w:tblGrid>
        <w:gridCol w:w="1526"/>
        <w:gridCol w:w="1984"/>
        <w:gridCol w:w="6237"/>
      </w:tblGrid>
      <w:tr w:rsidR="001579C8" w:rsidRPr="00D465D7" w:rsidTr="00D465D7">
        <w:trPr>
          <w:trHeight w:val="315"/>
        </w:trPr>
        <w:tc>
          <w:tcPr>
            <w:tcW w:w="1526" w:type="dxa"/>
            <w:tcBorders>
              <w:top w:val="single" w:sz="4" w:space="0" w:color="FF9933"/>
              <w:bottom w:val="single" w:sz="4" w:space="0" w:color="A6A6A6" w:themeColor="background1" w:themeShade="A6"/>
            </w:tcBorders>
            <w:shd w:val="clear" w:color="auto" w:fill="FBE4D5" w:themeFill="accent2" w:themeFillTint="33"/>
            <w:noWrap/>
            <w:vAlign w:val="bottom"/>
            <w:hideMark/>
          </w:tcPr>
          <w:p w:rsidR="001579C8" w:rsidRPr="00D465D7" w:rsidRDefault="00983371">
            <w:pPr>
              <w:spacing w:before="0"/>
              <w:jc w:val="center"/>
              <w:rPr>
                <w:rFonts w:ascii="Arial" w:eastAsia="Times New Roman" w:hAnsi="Arial" w:cs="Arial"/>
                <w:b/>
                <w:color w:val="000000"/>
                <w:sz w:val="20"/>
                <w:szCs w:val="20"/>
                <w:lang w:eastAsia="en-GB"/>
              </w:rPr>
            </w:pPr>
            <w:r w:rsidRPr="00D465D7">
              <w:rPr>
                <w:rFonts w:ascii="Arial" w:eastAsia="Times New Roman" w:hAnsi="Arial" w:cs="Arial"/>
                <w:b/>
                <w:color w:val="000000"/>
                <w:sz w:val="20"/>
                <w:szCs w:val="20"/>
                <w:lang w:eastAsia="en-GB"/>
              </w:rPr>
              <w:t>Competency</w:t>
            </w:r>
          </w:p>
        </w:tc>
        <w:tc>
          <w:tcPr>
            <w:tcW w:w="1984" w:type="dxa"/>
            <w:tcBorders>
              <w:top w:val="single" w:sz="4" w:space="0" w:color="FF9933"/>
              <w:bottom w:val="single" w:sz="4" w:space="0" w:color="A6A6A6" w:themeColor="background1" w:themeShade="A6"/>
            </w:tcBorders>
            <w:shd w:val="clear" w:color="auto" w:fill="FBE4D5" w:themeFill="accent2" w:themeFillTint="33"/>
            <w:noWrap/>
            <w:tcMar>
              <w:left w:w="28" w:type="dxa"/>
              <w:right w:w="28" w:type="dxa"/>
            </w:tcMar>
            <w:vAlign w:val="bottom"/>
            <w:hideMark/>
          </w:tcPr>
          <w:p w:rsidR="00983371" w:rsidRPr="00D465D7" w:rsidRDefault="00983371">
            <w:pPr>
              <w:spacing w:before="0"/>
              <w:jc w:val="center"/>
              <w:rPr>
                <w:rFonts w:ascii="Arial" w:eastAsia="Times New Roman" w:hAnsi="Arial" w:cs="Arial"/>
                <w:b/>
                <w:color w:val="000000"/>
                <w:sz w:val="20"/>
                <w:szCs w:val="20"/>
                <w:lang w:eastAsia="en-GB"/>
              </w:rPr>
            </w:pPr>
            <w:r w:rsidRPr="00D465D7">
              <w:rPr>
                <w:rFonts w:ascii="Arial" w:eastAsia="Times New Roman" w:hAnsi="Arial" w:cs="Arial"/>
                <w:b/>
                <w:color w:val="000000"/>
                <w:sz w:val="20"/>
                <w:szCs w:val="20"/>
                <w:lang w:eastAsia="en-GB"/>
              </w:rPr>
              <w:t xml:space="preserve">Dimensions </w:t>
            </w:r>
          </w:p>
          <w:p w:rsidR="001579C8" w:rsidRPr="00D465D7" w:rsidRDefault="00983371">
            <w:pPr>
              <w:spacing w:before="0"/>
              <w:jc w:val="center"/>
              <w:rPr>
                <w:rFonts w:ascii="Arial" w:eastAsia="Times New Roman" w:hAnsi="Arial" w:cs="Arial"/>
                <w:b/>
                <w:color w:val="000000"/>
                <w:sz w:val="20"/>
                <w:szCs w:val="20"/>
                <w:lang w:eastAsia="en-GB"/>
              </w:rPr>
            </w:pPr>
            <w:r w:rsidRPr="00D465D7">
              <w:rPr>
                <w:rFonts w:ascii="Arial" w:eastAsia="Times New Roman" w:hAnsi="Arial" w:cs="Arial"/>
                <w:b/>
                <w:color w:val="000000"/>
                <w:sz w:val="20"/>
                <w:szCs w:val="20"/>
                <w:lang w:eastAsia="en-GB"/>
              </w:rPr>
              <w:t>(Range and Scope)</w:t>
            </w:r>
          </w:p>
        </w:tc>
        <w:tc>
          <w:tcPr>
            <w:tcW w:w="6237" w:type="dxa"/>
            <w:tcBorders>
              <w:top w:val="single" w:sz="4" w:space="0" w:color="FF9933"/>
              <w:bottom w:val="single" w:sz="4" w:space="0" w:color="A6A6A6" w:themeColor="background1" w:themeShade="A6"/>
            </w:tcBorders>
            <w:shd w:val="clear" w:color="auto" w:fill="FBE4D5" w:themeFill="accent2" w:themeFillTint="33"/>
            <w:noWrap/>
            <w:vAlign w:val="bottom"/>
            <w:hideMark/>
          </w:tcPr>
          <w:p w:rsidR="001579C8" w:rsidRPr="00D465D7" w:rsidRDefault="00983371">
            <w:pPr>
              <w:spacing w:before="0"/>
              <w:jc w:val="center"/>
              <w:rPr>
                <w:rFonts w:ascii="Arial" w:eastAsia="Times New Roman" w:hAnsi="Arial" w:cs="Arial"/>
                <w:b/>
                <w:color w:val="000000"/>
                <w:sz w:val="20"/>
                <w:szCs w:val="20"/>
                <w:lang w:eastAsia="en-GB"/>
              </w:rPr>
            </w:pPr>
            <w:r w:rsidRPr="00D465D7">
              <w:rPr>
                <w:rFonts w:ascii="Arial" w:eastAsia="Times New Roman" w:hAnsi="Arial" w:cs="Arial"/>
                <w:b/>
                <w:color w:val="000000"/>
                <w:sz w:val="20"/>
                <w:szCs w:val="20"/>
                <w:lang w:eastAsia="en-GB"/>
              </w:rPr>
              <w:t>Questions</w:t>
            </w:r>
          </w:p>
        </w:tc>
      </w:tr>
      <w:tr w:rsidR="001579C8" w:rsidRPr="00D465D7" w:rsidTr="00FD3AB9">
        <w:trPr>
          <w:trHeight w:val="454"/>
        </w:trPr>
        <w:tc>
          <w:tcPr>
            <w:tcW w:w="1526" w:type="dxa"/>
            <w:vMerge w:val="restart"/>
            <w:tcBorders>
              <w:top w:val="single" w:sz="4" w:space="0" w:color="A6A6A6" w:themeColor="background1" w:themeShade="A6"/>
            </w:tcBorders>
            <w:shd w:val="clear" w:color="auto" w:fill="auto"/>
            <w:noWrap/>
            <w:vAlign w:val="center"/>
            <w:hideMark/>
          </w:tcPr>
          <w:p w:rsidR="001579C8" w:rsidRPr="00D465D7" w:rsidRDefault="00983371">
            <w:pPr>
              <w:spacing w:before="0"/>
              <w:jc w:val="center"/>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Safely starting a motorcycle</w:t>
            </w:r>
          </w:p>
        </w:tc>
        <w:tc>
          <w:tcPr>
            <w:tcW w:w="1984" w:type="dxa"/>
            <w:vMerge w:val="restart"/>
            <w:tcBorders>
              <w:top w:val="single" w:sz="4" w:space="0" w:color="A6A6A6" w:themeColor="background1" w:themeShade="A6"/>
            </w:tcBorders>
            <w:shd w:val="clear" w:color="auto" w:fill="auto"/>
            <w:noWrap/>
            <w:vAlign w:val="center"/>
            <w:hideMark/>
          </w:tcPr>
          <w:p w:rsidR="001579C8" w:rsidRPr="00D465D7" w:rsidRDefault="00983371">
            <w:pPr>
              <w:spacing w:before="0"/>
              <w:jc w:val="center"/>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Petrol</w:t>
            </w:r>
          </w:p>
        </w:tc>
        <w:tc>
          <w:tcPr>
            <w:tcW w:w="6237" w:type="dxa"/>
            <w:tcBorders>
              <w:top w:val="single" w:sz="4" w:space="0" w:color="A6A6A6" w:themeColor="background1" w:themeShade="A6"/>
            </w:tcBorders>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they visually checked the level in the correct position?</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they verified against the fuel indicator?</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the fuel quality been checked?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restart"/>
            <w:shd w:val="clear" w:color="auto" w:fill="auto"/>
            <w:noWrap/>
            <w:vAlign w:val="center"/>
            <w:hideMark/>
          </w:tcPr>
          <w:p w:rsidR="001579C8" w:rsidRPr="00D465D7" w:rsidRDefault="00983371">
            <w:pPr>
              <w:spacing w:before="0"/>
              <w:jc w:val="center"/>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Oil</w:t>
            </w: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the level been checked using the recommended procedure?</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If required, has the level been topped up between the limits?</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the oil quality been checked?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restart"/>
            <w:shd w:val="clear" w:color="auto" w:fill="auto"/>
            <w:noWrap/>
            <w:vAlign w:val="center"/>
            <w:hideMark/>
          </w:tcPr>
          <w:p w:rsidR="001579C8" w:rsidRPr="00D465D7" w:rsidRDefault="00983371">
            <w:pPr>
              <w:spacing w:before="0"/>
              <w:jc w:val="center"/>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Water</w:t>
            </w: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the reservoir been inspected?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the level been topped up according to the recommended procedure?</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restart"/>
            <w:shd w:val="clear" w:color="auto" w:fill="auto"/>
            <w:noWrap/>
            <w:vAlign w:val="center"/>
            <w:hideMark/>
          </w:tcPr>
          <w:p w:rsidR="001579C8" w:rsidRPr="00D465D7" w:rsidRDefault="00983371">
            <w:pPr>
              <w:spacing w:before="0"/>
              <w:jc w:val="center"/>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Damage</w:t>
            </w: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a visual check been completed around the machine?</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the major panels been inspected?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any immediate damage been spotted and rectified?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the correct procedure to repair been identified?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restart"/>
            <w:shd w:val="clear" w:color="auto" w:fill="auto"/>
            <w:noWrap/>
            <w:vAlign w:val="center"/>
            <w:hideMark/>
          </w:tcPr>
          <w:p w:rsidR="001579C8" w:rsidRPr="00D465D7" w:rsidRDefault="00983371">
            <w:pPr>
              <w:spacing w:before="0"/>
              <w:jc w:val="center"/>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Electrical System</w:t>
            </w: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the battery been inspected?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the indicators been inspected on both sides?</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the front headlight and main beam been checked to be operational?</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both brake systems been checked as operational?</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 xml:space="preserve">Warning lights </w:t>
            </w:r>
            <w:proofErr w:type="gramStart"/>
            <w:r w:rsidRPr="00D465D7">
              <w:rPr>
                <w:rFonts w:ascii="Arial" w:eastAsia="Times New Roman" w:hAnsi="Arial" w:cs="Arial"/>
                <w:color w:val="000000"/>
                <w:sz w:val="20"/>
                <w:szCs w:val="20"/>
                <w:lang w:eastAsia="en-GB"/>
              </w:rPr>
              <w:t>checked?</w:t>
            </w:r>
            <w:proofErr w:type="gramEnd"/>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Does the motorcycle start?</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restart"/>
            <w:shd w:val="clear" w:color="auto" w:fill="auto"/>
            <w:noWrap/>
            <w:vAlign w:val="center"/>
            <w:hideMark/>
          </w:tcPr>
          <w:p w:rsidR="001579C8" w:rsidRPr="00D465D7" w:rsidRDefault="00983371">
            <w:pPr>
              <w:spacing w:before="0"/>
              <w:jc w:val="center"/>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Rubber</w:t>
            </w: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the tyres been visually checked for damage and objects?</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the tyre pressures been checked?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the correct tread depth and pattern width been identified and checked?</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restart"/>
            <w:shd w:val="clear" w:color="auto" w:fill="auto"/>
            <w:noWrap/>
            <w:vAlign w:val="center"/>
            <w:hideMark/>
          </w:tcPr>
          <w:p w:rsidR="001579C8" w:rsidRPr="00D465D7" w:rsidRDefault="00983371">
            <w:pPr>
              <w:spacing w:before="0"/>
              <w:jc w:val="center"/>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Steering</w:t>
            </w: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a visual bars check been undertaken?</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a free play check been undertaken?</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Have the forks been checked for integrity and pitting?</w:t>
            </w:r>
          </w:p>
        </w:tc>
      </w:tr>
      <w:tr w:rsidR="001579C8" w:rsidRPr="00D465D7" w:rsidTr="00FD3AB9">
        <w:trPr>
          <w:trHeight w:val="454"/>
        </w:trPr>
        <w:tc>
          <w:tcPr>
            <w:tcW w:w="1526"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1984" w:type="dxa"/>
            <w:vMerge/>
            <w:vAlign w:val="center"/>
            <w:hideMark/>
          </w:tcPr>
          <w:p w:rsidR="001579C8" w:rsidRPr="00D465D7" w:rsidRDefault="001579C8">
            <w:pPr>
              <w:spacing w:before="0"/>
              <w:rPr>
                <w:rFonts w:ascii="Arial" w:eastAsia="Times New Roman" w:hAnsi="Arial" w:cs="Arial"/>
                <w:color w:val="000000"/>
                <w:sz w:val="20"/>
                <w:szCs w:val="20"/>
                <w:lang w:eastAsia="en-GB"/>
              </w:rPr>
            </w:pPr>
          </w:p>
        </w:tc>
        <w:tc>
          <w:tcPr>
            <w:tcW w:w="6237" w:type="dxa"/>
            <w:shd w:val="clear" w:color="auto" w:fill="auto"/>
            <w:noWrap/>
            <w:vAlign w:val="center"/>
            <w:hideMark/>
          </w:tcPr>
          <w:p w:rsidR="001579C8" w:rsidRPr="00D465D7" w:rsidRDefault="00983371" w:rsidP="0059545C">
            <w:pPr>
              <w:spacing w:before="0"/>
              <w:rPr>
                <w:rFonts w:ascii="Arial" w:eastAsia="Times New Roman" w:hAnsi="Arial" w:cs="Arial"/>
                <w:color w:val="000000"/>
                <w:sz w:val="20"/>
                <w:szCs w:val="20"/>
                <w:lang w:eastAsia="en-GB"/>
              </w:rPr>
            </w:pPr>
            <w:r w:rsidRPr="00D465D7">
              <w:rPr>
                <w:rFonts w:ascii="Arial" w:eastAsia="Times New Roman" w:hAnsi="Arial" w:cs="Arial"/>
                <w:color w:val="000000"/>
                <w:sz w:val="20"/>
                <w:szCs w:val="20"/>
                <w:lang w:eastAsia="en-GB"/>
              </w:rPr>
              <w:t>Has a rolling slow check been undertaken with a stop?</w:t>
            </w:r>
          </w:p>
        </w:tc>
      </w:tr>
    </w:tbl>
    <w:p w:rsidR="001579C8" w:rsidRDefault="001579C8"/>
    <w:sectPr w:rsidR="001579C8" w:rsidSect="00983371">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C5" w:rsidRDefault="006B4FC5" w:rsidP="00EF3C89">
      <w:pPr>
        <w:spacing w:before="0" w:line="240" w:lineRule="auto"/>
      </w:pPr>
      <w:r>
        <w:separator/>
      </w:r>
    </w:p>
  </w:endnote>
  <w:endnote w:type="continuationSeparator" w:id="1">
    <w:p w:rsidR="006B4FC5" w:rsidRDefault="006B4FC5" w:rsidP="00EF3C8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20"/>
        <w:szCs w:val="20"/>
      </w:rPr>
      <w:id w:val="2127425585"/>
      <w:docPartObj>
        <w:docPartGallery w:val="Page Numbers (Bottom of Page)"/>
        <w:docPartUnique/>
      </w:docPartObj>
    </w:sdtPr>
    <w:sdtEndPr>
      <w:rPr>
        <w:lang w:val="en-US"/>
      </w:rPr>
    </w:sdtEndPr>
    <w:sdtContent>
      <w:p w:rsidR="00C66A3F" w:rsidRPr="00EF3C89" w:rsidRDefault="00C66A3F" w:rsidP="00EF3C89">
        <w:pPr>
          <w:pStyle w:val="Footer"/>
          <w:pBdr>
            <w:top w:val="single" w:sz="4" w:space="1" w:color="A6A6A6" w:themeColor="background1" w:themeShade="A6"/>
          </w:pBdr>
          <w:tabs>
            <w:tab w:val="clear" w:pos="9026"/>
            <w:tab w:val="right" w:pos="9498"/>
          </w:tabs>
          <w:rPr>
            <w:color w:val="808080" w:themeColor="background1" w:themeShade="80"/>
            <w:sz w:val="20"/>
            <w:szCs w:val="20"/>
          </w:rPr>
        </w:pPr>
        <w:r w:rsidRPr="00EF3C89">
          <w:rPr>
            <w:color w:val="808080" w:themeColor="background1" w:themeShade="80"/>
            <w:sz w:val="20"/>
            <w:szCs w:val="20"/>
          </w:rPr>
          <w:t>Assessment and Apprenticeship standards</w:t>
        </w:r>
        <w:r w:rsidR="00D465D7">
          <w:rPr>
            <w:color w:val="808080" w:themeColor="background1" w:themeShade="80"/>
            <w:sz w:val="20"/>
            <w:szCs w:val="20"/>
          </w:rPr>
          <w:t xml:space="preserve"> (FISSS, November 2014)</w:t>
        </w:r>
        <w:r w:rsidRPr="00EF3C89">
          <w:rPr>
            <w:color w:val="808080" w:themeColor="background1" w:themeShade="80"/>
            <w:sz w:val="20"/>
            <w:szCs w:val="20"/>
          </w:rPr>
          <w:tab/>
        </w:r>
        <w:r w:rsidR="00DD5581" w:rsidRPr="00DD5581">
          <w:rPr>
            <w:b/>
            <w:color w:val="808080" w:themeColor="background1" w:themeShade="80"/>
            <w:sz w:val="28"/>
            <w:szCs w:val="28"/>
            <w:lang w:val="en-US"/>
          </w:rPr>
          <w:fldChar w:fldCharType="begin"/>
        </w:r>
        <w:r w:rsidRPr="00EF3C89">
          <w:rPr>
            <w:b/>
            <w:color w:val="808080" w:themeColor="background1" w:themeShade="80"/>
            <w:sz w:val="28"/>
            <w:szCs w:val="28"/>
            <w:lang w:val="en-US"/>
          </w:rPr>
          <w:instrText xml:space="preserve"> PAGE   \* MERGEFORMAT </w:instrText>
        </w:r>
        <w:r w:rsidR="00DD5581" w:rsidRPr="00DD5581">
          <w:rPr>
            <w:b/>
            <w:color w:val="808080" w:themeColor="background1" w:themeShade="80"/>
            <w:sz w:val="28"/>
            <w:szCs w:val="28"/>
            <w:lang w:val="en-US"/>
          </w:rPr>
          <w:fldChar w:fldCharType="separate"/>
        </w:r>
        <w:r w:rsidR="002B5AA1">
          <w:rPr>
            <w:b/>
            <w:noProof/>
            <w:color w:val="808080" w:themeColor="background1" w:themeShade="80"/>
            <w:sz w:val="28"/>
            <w:szCs w:val="28"/>
            <w:lang w:val="en-US"/>
          </w:rPr>
          <w:t>1</w:t>
        </w:r>
        <w:r w:rsidR="00DD5581" w:rsidRPr="00EF3C89">
          <w:rPr>
            <w:b/>
            <w:color w:val="808080" w:themeColor="background1" w:themeShade="80"/>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C5" w:rsidRDefault="006B4FC5" w:rsidP="00EF3C89">
      <w:pPr>
        <w:spacing w:before="0" w:line="240" w:lineRule="auto"/>
      </w:pPr>
      <w:r>
        <w:separator/>
      </w:r>
    </w:p>
  </w:footnote>
  <w:footnote w:type="continuationSeparator" w:id="1">
    <w:p w:rsidR="006B4FC5" w:rsidRDefault="006B4FC5" w:rsidP="00EF3C89">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978"/>
    <w:multiLevelType w:val="hybridMultilevel"/>
    <w:tmpl w:val="CE9CE6D4"/>
    <w:lvl w:ilvl="0" w:tplc="FEA6CA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248B4"/>
    <w:multiLevelType w:val="hybridMultilevel"/>
    <w:tmpl w:val="4F2830AE"/>
    <w:lvl w:ilvl="0" w:tplc="531A5B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94B58"/>
    <w:multiLevelType w:val="hybridMultilevel"/>
    <w:tmpl w:val="59E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61B47"/>
    <w:multiLevelType w:val="hybridMultilevel"/>
    <w:tmpl w:val="A3628B00"/>
    <w:lvl w:ilvl="0" w:tplc="531A5B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B912D7"/>
    <w:multiLevelType w:val="hybridMultilevel"/>
    <w:tmpl w:val="02D4FE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336859E7"/>
    <w:multiLevelType w:val="hybridMultilevel"/>
    <w:tmpl w:val="70E0A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49031CE"/>
    <w:multiLevelType w:val="hybridMultilevel"/>
    <w:tmpl w:val="D7068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DB4698"/>
    <w:multiLevelType w:val="hybridMultilevel"/>
    <w:tmpl w:val="FDB6BE40"/>
    <w:lvl w:ilvl="0" w:tplc="531A5B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F15A70"/>
    <w:multiLevelType w:val="hybridMultilevel"/>
    <w:tmpl w:val="D4C05EE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nsid w:val="47862D8F"/>
    <w:multiLevelType w:val="hybridMultilevel"/>
    <w:tmpl w:val="15A6D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586DEA"/>
    <w:multiLevelType w:val="hybridMultilevel"/>
    <w:tmpl w:val="E3EEA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C968E2"/>
    <w:multiLevelType w:val="hybridMultilevel"/>
    <w:tmpl w:val="CA4E8A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0E3478"/>
    <w:multiLevelType w:val="hybridMultilevel"/>
    <w:tmpl w:val="500E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C327A"/>
    <w:multiLevelType w:val="hybridMultilevel"/>
    <w:tmpl w:val="75C4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E53540"/>
    <w:multiLevelType w:val="hybridMultilevel"/>
    <w:tmpl w:val="440C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0"/>
  </w:num>
  <w:num w:numId="6">
    <w:abstractNumId w:val="9"/>
  </w:num>
  <w:num w:numId="7">
    <w:abstractNumId w:val="1"/>
  </w:num>
  <w:num w:numId="8">
    <w:abstractNumId w:val="7"/>
  </w:num>
  <w:num w:numId="9">
    <w:abstractNumId w:val="3"/>
  </w:num>
  <w:num w:numId="10">
    <w:abstractNumId w:val="8"/>
  </w:num>
  <w:num w:numId="11">
    <w:abstractNumId w:val="12"/>
  </w:num>
  <w:num w:numId="12">
    <w:abstractNumId w:val="2"/>
  </w:num>
  <w:num w:numId="13">
    <w:abstractNumId w:val="13"/>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579C8"/>
    <w:rsid w:val="001579C8"/>
    <w:rsid w:val="002B5AA1"/>
    <w:rsid w:val="0059545C"/>
    <w:rsid w:val="006B4FC5"/>
    <w:rsid w:val="00840178"/>
    <w:rsid w:val="008E463E"/>
    <w:rsid w:val="00983371"/>
    <w:rsid w:val="00B75F98"/>
    <w:rsid w:val="00C66A3F"/>
    <w:rsid w:val="00D465D7"/>
    <w:rsid w:val="00DD5581"/>
    <w:rsid w:val="00E269F2"/>
    <w:rsid w:val="00EF3C89"/>
    <w:rsid w:val="00FD3A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71"/>
    <w:pPr>
      <w:spacing w:before="120" w:after="0" w:line="264" w:lineRule="auto"/>
    </w:pPr>
    <w:rPr>
      <w:rFonts w:ascii="Verdana" w:hAnsi="Verdana"/>
    </w:rPr>
  </w:style>
  <w:style w:type="paragraph" w:styleId="Heading2">
    <w:name w:val="heading 2"/>
    <w:basedOn w:val="Heading3"/>
    <w:next w:val="Normal"/>
    <w:link w:val="Heading2Char"/>
    <w:uiPriority w:val="9"/>
    <w:qFormat/>
    <w:rsid w:val="00983371"/>
    <w:pPr>
      <w:keepNext w:val="0"/>
      <w:keepLines w:val="0"/>
      <w:autoSpaceDE w:val="0"/>
      <w:autoSpaceDN w:val="0"/>
      <w:adjustRightInd w:val="0"/>
      <w:spacing w:before="0" w:after="120"/>
      <w:ind w:right="-142"/>
      <w:outlineLvl w:val="1"/>
    </w:pPr>
    <w:rPr>
      <w:rFonts w:ascii="Verdana" w:eastAsia="Calibri" w:hAnsi="Verdana" w:cs="Times New Roman"/>
      <w:bCs w:val="0"/>
      <w:noProof/>
      <w:color w:val="FF6600"/>
      <w:sz w:val="28"/>
      <w:szCs w:val="28"/>
      <w:lang w:eastAsia="en-GB"/>
    </w:rPr>
  </w:style>
  <w:style w:type="paragraph" w:styleId="Heading3">
    <w:name w:val="heading 3"/>
    <w:basedOn w:val="Normal"/>
    <w:next w:val="Normal"/>
    <w:link w:val="Heading3Char"/>
    <w:uiPriority w:val="9"/>
    <w:semiHidden/>
    <w:unhideWhenUsed/>
    <w:qFormat/>
    <w:rsid w:val="0098337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9C8"/>
    <w:pPr>
      <w:ind w:left="720"/>
      <w:contextualSpacing/>
    </w:pPr>
  </w:style>
  <w:style w:type="character" w:styleId="CommentReference">
    <w:name w:val="annotation reference"/>
    <w:basedOn w:val="DefaultParagraphFont"/>
    <w:uiPriority w:val="99"/>
    <w:semiHidden/>
    <w:unhideWhenUsed/>
    <w:rsid w:val="001579C8"/>
    <w:rPr>
      <w:sz w:val="16"/>
      <w:szCs w:val="16"/>
    </w:rPr>
  </w:style>
  <w:style w:type="paragraph" w:styleId="CommentText">
    <w:name w:val="annotation text"/>
    <w:basedOn w:val="Normal"/>
    <w:link w:val="CommentTextChar"/>
    <w:uiPriority w:val="99"/>
    <w:semiHidden/>
    <w:unhideWhenUsed/>
    <w:rsid w:val="001579C8"/>
    <w:rPr>
      <w:sz w:val="20"/>
      <w:szCs w:val="20"/>
    </w:rPr>
  </w:style>
  <w:style w:type="character" w:customStyle="1" w:styleId="CommentTextChar">
    <w:name w:val="Comment Text Char"/>
    <w:basedOn w:val="DefaultParagraphFont"/>
    <w:link w:val="CommentText"/>
    <w:uiPriority w:val="99"/>
    <w:semiHidden/>
    <w:rsid w:val="001579C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579C8"/>
    <w:rPr>
      <w:b/>
      <w:bCs/>
    </w:rPr>
  </w:style>
  <w:style w:type="character" w:customStyle="1" w:styleId="CommentSubjectChar">
    <w:name w:val="Comment Subject Char"/>
    <w:basedOn w:val="CommentTextChar"/>
    <w:link w:val="CommentSubject"/>
    <w:uiPriority w:val="99"/>
    <w:semiHidden/>
    <w:rsid w:val="001579C8"/>
    <w:rPr>
      <w:rFonts w:ascii="Tahoma" w:hAnsi="Tahoma"/>
      <w:b/>
      <w:bCs/>
      <w:sz w:val="20"/>
      <w:szCs w:val="20"/>
    </w:rPr>
  </w:style>
  <w:style w:type="paragraph" w:styleId="BalloonText">
    <w:name w:val="Balloon Text"/>
    <w:basedOn w:val="Normal"/>
    <w:link w:val="BalloonTextChar"/>
    <w:uiPriority w:val="99"/>
    <w:semiHidden/>
    <w:unhideWhenUsed/>
    <w:rsid w:val="001579C8"/>
    <w:pPr>
      <w:spacing w:before="0"/>
    </w:pPr>
    <w:rPr>
      <w:rFonts w:cs="Tahoma"/>
      <w:sz w:val="16"/>
      <w:szCs w:val="16"/>
    </w:rPr>
  </w:style>
  <w:style w:type="character" w:customStyle="1" w:styleId="BalloonTextChar">
    <w:name w:val="Balloon Text Char"/>
    <w:basedOn w:val="DefaultParagraphFont"/>
    <w:link w:val="BalloonText"/>
    <w:uiPriority w:val="99"/>
    <w:semiHidden/>
    <w:rsid w:val="001579C8"/>
    <w:rPr>
      <w:rFonts w:ascii="Tahoma" w:hAnsi="Tahoma" w:cs="Tahoma"/>
      <w:sz w:val="16"/>
      <w:szCs w:val="16"/>
    </w:rPr>
  </w:style>
  <w:style w:type="character" w:customStyle="1" w:styleId="Heading2Char">
    <w:name w:val="Heading 2 Char"/>
    <w:basedOn w:val="DefaultParagraphFont"/>
    <w:link w:val="Heading2"/>
    <w:uiPriority w:val="9"/>
    <w:rsid w:val="00983371"/>
    <w:rPr>
      <w:rFonts w:ascii="Verdana" w:eastAsia="Calibri" w:hAnsi="Verdana" w:cs="Times New Roman"/>
      <w:b/>
      <w:noProof/>
      <w:color w:val="FF6600"/>
      <w:sz w:val="28"/>
      <w:szCs w:val="28"/>
      <w:lang w:eastAsia="en-GB"/>
    </w:rPr>
  </w:style>
  <w:style w:type="character" w:customStyle="1" w:styleId="Heading3Char">
    <w:name w:val="Heading 3 Char"/>
    <w:basedOn w:val="DefaultParagraphFont"/>
    <w:link w:val="Heading3"/>
    <w:uiPriority w:val="9"/>
    <w:semiHidden/>
    <w:rsid w:val="00983371"/>
    <w:rPr>
      <w:rFonts w:asciiTheme="majorHAnsi" w:eastAsiaTheme="majorEastAsia" w:hAnsiTheme="majorHAnsi" w:cstheme="majorBidi"/>
      <w:b/>
      <w:bCs/>
      <w:color w:val="5B9BD5" w:themeColor="accent1"/>
      <w:sz w:val="24"/>
    </w:rPr>
  </w:style>
  <w:style w:type="paragraph" w:styleId="Header">
    <w:name w:val="header"/>
    <w:basedOn w:val="Normal"/>
    <w:link w:val="HeaderChar"/>
    <w:uiPriority w:val="99"/>
    <w:semiHidden/>
    <w:unhideWhenUsed/>
    <w:rsid w:val="00EF3C89"/>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EF3C89"/>
    <w:rPr>
      <w:rFonts w:ascii="Verdana" w:hAnsi="Verdana"/>
    </w:rPr>
  </w:style>
  <w:style w:type="paragraph" w:styleId="Footer">
    <w:name w:val="footer"/>
    <w:basedOn w:val="Normal"/>
    <w:link w:val="FooterChar"/>
    <w:uiPriority w:val="99"/>
    <w:semiHidden/>
    <w:unhideWhenUsed/>
    <w:rsid w:val="00EF3C89"/>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EF3C89"/>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hAnsi="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hAnsi="Tahoma"/>
      <w:b/>
      <w:bCs/>
      <w:sz w:val="20"/>
      <w:szCs w:val="20"/>
    </w:rPr>
  </w:style>
  <w:style w:type="paragraph" w:styleId="BalloonText">
    <w:name w:val="Balloon Text"/>
    <w:basedOn w:val="Normal"/>
    <w:link w:val="BalloonTextChar"/>
    <w:uiPriority w:val="99"/>
    <w:semiHidden/>
    <w:unhideWhenUsed/>
    <w:pPr>
      <w:spacing w:before="0"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631929">
      <w:bodyDiv w:val="1"/>
      <w:marLeft w:val="0"/>
      <w:marRight w:val="0"/>
      <w:marTop w:val="0"/>
      <w:marBottom w:val="0"/>
      <w:divBdr>
        <w:top w:val="none" w:sz="0" w:space="0" w:color="auto"/>
        <w:left w:val="none" w:sz="0" w:space="0" w:color="auto"/>
        <w:bottom w:val="none" w:sz="0" w:space="0" w:color="auto"/>
        <w:right w:val="none" w:sz="0" w:space="0" w:color="auto"/>
      </w:divBdr>
    </w:div>
    <w:div w:id="1287663316">
      <w:bodyDiv w:val="1"/>
      <w:marLeft w:val="0"/>
      <w:marRight w:val="0"/>
      <w:marTop w:val="0"/>
      <w:marBottom w:val="0"/>
      <w:divBdr>
        <w:top w:val="none" w:sz="0" w:space="0" w:color="auto"/>
        <w:left w:val="none" w:sz="0" w:space="0" w:color="auto"/>
        <w:bottom w:val="none" w:sz="0" w:space="0" w:color="auto"/>
        <w:right w:val="none" w:sz="0" w:space="0" w:color="auto"/>
      </w:divBdr>
    </w:div>
    <w:div w:id="13331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B6B8-9B27-4F84-9F7C-8F880134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8: Building a competency scaffold </dc:title>
  <dc:subject/>
  <dc:creator>SDN/FISSS</dc:creator>
  <cp:keywords/>
  <dc:description/>
  <cp:lastModifiedBy> </cp:lastModifiedBy>
  <cp:revision>5</cp:revision>
  <dcterms:created xsi:type="dcterms:W3CDTF">2014-10-29T19:59:00Z</dcterms:created>
  <dcterms:modified xsi:type="dcterms:W3CDTF">2014-11-24T22:21:00Z</dcterms:modified>
</cp:coreProperties>
</file>